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41F49213">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D27FBE"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430E4842"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w:t>
      </w:r>
      <w:r w:rsidR="009E4D5E">
        <w:rPr>
          <w:rFonts w:asciiTheme="majorHAnsi" w:hAnsiTheme="majorHAnsi"/>
          <w:i/>
          <w:sz w:val="22"/>
        </w:rPr>
        <w:t>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571DA84A"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44246D">
        <w:rPr>
          <w:rFonts w:ascii="Arial" w:hAnsi="Arial" w:cs="Arial"/>
          <w:color w:val="000000"/>
        </w:rPr>
        <w:t xml:space="preserve">September </w:t>
      </w:r>
      <w:r w:rsidR="009C65CC">
        <w:rPr>
          <w:rFonts w:ascii="Arial" w:hAnsi="Arial" w:cs="Arial"/>
          <w:color w:val="000000"/>
        </w:rPr>
        <w:t>4</w:t>
      </w:r>
      <w:r w:rsidR="0044246D">
        <w:rPr>
          <w:rFonts w:ascii="Arial" w:hAnsi="Arial" w:cs="Arial"/>
          <w:color w:val="000000"/>
        </w:rPr>
        <w:t>, 2020</w:t>
      </w:r>
    </w:p>
    <w:p w14:paraId="50A8488F" w14:textId="67A8C982"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1-01</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7C381541" w14:textId="2789AA99" w:rsidR="00882BC7" w:rsidRPr="00882BC7" w:rsidRDefault="00882BC7" w:rsidP="00882BC7">
      <w:pPr>
        <w:pStyle w:val="Default"/>
        <w:numPr>
          <w:ilvl w:val="0"/>
          <w:numId w:val="6"/>
        </w:numPr>
        <w:ind w:left="720"/>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sidR="009C65CC">
        <w:rPr>
          <w:rFonts w:ascii="Arial" w:hAnsi="Arial" w:cs="Arial"/>
          <w:bCs/>
          <w:color w:val="auto"/>
        </w:rPr>
        <w:t xml:space="preserve"> (including all Extension memos)</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7932D93F" w14:textId="6DFAD5AA"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227CC9A2" w14:textId="02333EC3"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2F4CE75" w14:textId="4E20AE96" w:rsidR="00F83A27" w:rsidRDefault="00F83A27" w:rsidP="001E4833">
      <w:pPr>
        <w:pStyle w:val="ListParagraph"/>
        <w:numPr>
          <w:ilvl w:val="0"/>
          <w:numId w:val="1"/>
        </w:numPr>
        <w:rPr>
          <w:rFonts w:ascii="Arial" w:hAnsi="Arial" w:cs="Arial"/>
        </w:rPr>
      </w:pPr>
      <w:r>
        <w:rPr>
          <w:rFonts w:ascii="Arial" w:hAnsi="Arial" w:cs="Arial"/>
        </w:rPr>
        <w:t>NSLP Income Guidelines 2020-2021</w:t>
      </w:r>
    </w:p>
    <w:p w14:paraId="0C826EFE" w14:textId="1C96322A" w:rsidR="000037CB" w:rsidRDefault="000037CB" w:rsidP="001E4833">
      <w:pPr>
        <w:pStyle w:val="ListParagraph"/>
        <w:numPr>
          <w:ilvl w:val="0"/>
          <w:numId w:val="1"/>
        </w:numPr>
        <w:rPr>
          <w:rFonts w:ascii="Arial" w:hAnsi="Arial" w:cs="Arial"/>
        </w:rPr>
      </w:pPr>
      <w:r w:rsidRPr="000037CB">
        <w:rPr>
          <w:rFonts w:ascii="Arial" w:hAnsi="Arial" w:cs="Arial"/>
          <w:b/>
          <w:i/>
          <w:color w:val="7030A0"/>
        </w:rPr>
        <w:t>N</w:t>
      </w:r>
      <w:r w:rsidR="00AE15F4">
        <w:rPr>
          <w:rFonts w:ascii="Arial" w:hAnsi="Arial" w:cs="Arial"/>
          <w:b/>
          <w:i/>
          <w:color w:val="7030A0"/>
        </w:rPr>
        <w:t>EW</w:t>
      </w:r>
      <w:r>
        <w:rPr>
          <w:rFonts w:ascii="Arial" w:hAnsi="Arial" w:cs="Arial"/>
        </w:rPr>
        <w:t xml:space="preserve"> ELearning course- Preparing for an Administrative Review for School Nutrition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7031BAE5" w14:textId="4CB0DCCA" w:rsidR="00FD3DBF" w:rsidRPr="00D31E10" w:rsidRDefault="0044246D" w:rsidP="00FD3DBF">
      <w:pPr>
        <w:pStyle w:val="ListParagraph"/>
        <w:numPr>
          <w:ilvl w:val="0"/>
          <w:numId w:val="2"/>
        </w:numPr>
        <w:rPr>
          <w:rFonts w:ascii="Arial" w:hAnsi="Arial" w:cs="Arial"/>
        </w:rPr>
      </w:pPr>
      <w:r>
        <w:rPr>
          <w:rFonts w:ascii="Arial" w:hAnsi="Arial" w:cs="Arial"/>
          <w:b/>
          <w:i/>
          <w:color w:val="7030A0"/>
        </w:rPr>
        <w:t>None at this time</w:t>
      </w:r>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10BC3AC5" w14:textId="77777777" w:rsidR="001E4833" w:rsidRPr="00882BC7" w:rsidRDefault="001E4833" w:rsidP="001E4833">
      <w:pPr>
        <w:pStyle w:val="ListParagraph"/>
        <w:ind w:left="0"/>
        <w:rPr>
          <w:rFonts w:ascii="Arial" w:hAnsi="Arial" w:cs="Arial"/>
          <w:b/>
        </w:rPr>
      </w:pPr>
    </w:p>
    <w:p w14:paraId="0DF2A4A3" w14:textId="77777777"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17" w:history="1">
        <w:r w:rsidRPr="00882BC7">
          <w:rPr>
            <w:rStyle w:val="Hyperlink"/>
            <w:rFonts w:ascii="Arial" w:hAnsi="Arial" w:cs="Arial"/>
            <w:b/>
          </w:rPr>
          <w:t>COVID-19</w:t>
        </w:r>
      </w:hyperlink>
      <w:r w:rsidRPr="00882BC7">
        <w:rPr>
          <w:rFonts w:ascii="Arial" w:hAnsi="Arial" w:cs="Arial"/>
          <w:b/>
          <w:color w:val="auto"/>
        </w:rPr>
        <w:t xml:space="preserve"> web page</w:t>
      </w:r>
    </w:p>
    <w:p w14:paraId="6B0C5237" w14:textId="5BD6B32A" w:rsidR="00882BC7" w:rsidRDefault="00882BC7" w:rsidP="00882BC7">
      <w:pPr>
        <w:pStyle w:val="Default"/>
        <w:rPr>
          <w:rFonts w:ascii="Arial" w:hAnsi="Arial" w:cs="Arial"/>
          <w:bCs/>
          <w:color w:val="auto"/>
        </w:rPr>
      </w:pPr>
    </w:p>
    <w:p w14:paraId="56A447AB" w14:textId="15C97087"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t>Sponsors: This web page lists all the National Waiver</w:t>
      </w:r>
      <w:r w:rsidR="00F13341">
        <w:rPr>
          <w:rFonts w:ascii="Arial" w:hAnsi="Arial" w:cs="Arial"/>
          <w:bCs/>
          <w:i/>
          <w:iCs/>
          <w:color w:val="auto"/>
        </w:rPr>
        <w:t>s, Waiver Extensions,</w:t>
      </w:r>
      <w:r w:rsidRPr="00882BC7">
        <w:rPr>
          <w:rFonts w:ascii="Arial" w:hAnsi="Arial" w:cs="Arial"/>
          <w:bCs/>
          <w:i/>
          <w:iCs/>
          <w:color w:val="auto"/>
        </w:rPr>
        <w:t xml:space="preserve"> and Q&amp;As distributed by USDA on the COVID-19 pandemic.</w:t>
      </w:r>
      <w:r w:rsidR="00AE15F4">
        <w:rPr>
          <w:rFonts w:ascii="Arial" w:hAnsi="Arial" w:cs="Arial"/>
          <w:bCs/>
          <w:i/>
          <w:iCs/>
          <w:color w:val="auto"/>
        </w:rPr>
        <w:t xml:space="preserve"> </w:t>
      </w:r>
    </w:p>
    <w:p w14:paraId="0B192921" w14:textId="77777777" w:rsidR="001E4833" w:rsidRPr="003B5ABC" w:rsidRDefault="001E4833" w:rsidP="007E0C00">
      <w:pPr>
        <w:pStyle w:val="Default"/>
        <w:rPr>
          <w:rFonts w:ascii="Arial" w:hAnsi="Arial" w:cs="Arial"/>
          <w:bCs/>
          <w:color w:val="auto"/>
        </w:rPr>
      </w:pPr>
    </w:p>
    <w:p w14:paraId="5F4B7D47" w14:textId="77777777"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3D07FCC9" w14:textId="77777777" w:rsidR="005656B0" w:rsidRPr="001C433C" w:rsidRDefault="005656B0" w:rsidP="001C433C">
      <w:pPr>
        <w:rPr>
          <w:rFonts w:ascii="Arial" w:hAnsi="Arial" w:cs="Arial"/>
          <w:b/>
        </w:rPr>
      </w:pPr>
    </w:p>
    <w:p w14:paraId="6F51BA2B" w14:textId="645C1E6C"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18"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19"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0"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1"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4AD9FECD" w14:textId="2615A07E"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54E61477"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 link: </w:t>
      </w:r>
      <w:hyperlink r:id="rId22"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D27FBE" w:rsidP="008956D9">
      <w:pPr>
        <w:pStyle w:val="ListParagraph"/>
        <w:rPr>
          <w:rFonts w:ascii="Arial" w:hAnsi="Arial" w:cs="Arial"/>
        </w:rPr>
      </w:pPr>
      <w:hyperlink r:id="rId23"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2A7D2D36" w14:textId="77777777" w:rsidR="008956D9" w:rsidRDefault="008956D9" w:rsidP="008956D9">
      <w:pPr>
        <w:pStyle w:val="ListParagraph"/>
        <w:rPr>
          <w:rFonts w:ascii="Arial" w:hAnsi="Arial" w:cs="Arial"/>
          <w:b/>
          <w:bCs/>
        </w:rPr>
      </w:pPr>
    </w:p>
    <w:p w14:paraId="6A0CF499" w14:textId="1F701909" w:rsidR="00F83A27" w:rsidRDefault="00F83A27" w:rsidP="00F83A27">
      <w:pPr>
        <w:pStyle w:val="ListParagraph"/>
        <w:numPr>
          <w:ilvl w:val="0"/>
          <w:numId w:val="7"/>
        </w:numPr>
        <w:rPr>
          <w:rFonts w:ascii="Arial" w:hAnsi="Arial" w:cs="Arial"/>
          <w:b/>
          <w:bCs/>
        </w:rPr>
      </w:pPr>
      <w:r w:rsidRPr="00F83A27">
        <w:rPr>
          <w:rFonts w:ascii="Arial" w:hAnsi="Arial" w:cs="Arial"/>
          <w:b/>
          <w:bCs/>
        </w:rPr>
        <w:t>NSLP Income Guidelines 2020-2021</w:t>
      </w:r>
      <w:r>
        <w:rPr>
          <w:rFonts w:ascii="Arial" w:hAnsi="Arial" w:cs="Arial"/>
          <w:b/>
          <w:bCs/>
        </w:rPr>
        <w:t>-</w:t>
      </w:r>
      <w:r>
        <w:rPr>
          <w:rFonts w:ascii="Arial" w:hAnsi="Arial" w:cs="Arial"/>
        </w:rPr>
        <w:t xml:space="preserve"> The income guidelines </w:t>
      </w:r>
      <w:r w:rsidR="0041398C">
        <w:rPr>
          <w:rFonts w:ascii="Arial" w:hAnsi="Arial" w:cs="Arial"/>
        </w:rPr>
        <w:t>is posted in the Bulletins and Memos web page under the May Bulletin.</w:t>
      </w:r>
    </w:p>
    <w:p w14:paraId="0CC33BA2" w14:textId="77777777" w:rsidR="00F83A27" w:rsidRPr="00F83A27" w:rsidRDefault="00F83A27" w:rsidP="00F83A27">
      <w:pPr>
        <w:pStyle w:val="ListParagraph"/>
        <w:rPr>
          <w:rFonts w:ascii="Arial" w:hAnsi="Arial" w:cs="Arial"/>
          <w:b/>
          <w:bCs/>
        </w:rPr>
      </w:pPr>
    </w:p>
    <w:p w14:paraId="187F881F" w14:textId="5C498ED8"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r w:rsidRPr="000037CB">
        <w:rPr>
          <w:rFonts w:ascii="Arial" w:hAnsi="Arial" w:cs="Arial"/>
          <w:b/>
        </w:rPr>
        <w:t>ELearning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lastRenderedPageBreak/>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t>To register for this training and many more go to:</w:t>
      </w:r>
      <w:r w:rsidRPr="001636B7">
        <w:t xml:space="preserve"> </w:t>
      </w:r>
      <w:r w:rsidRPr="001636B7">
        <w:rPr>
          <w:rFonts w:ascii="Arial" w:hAnsi="Arial" w:cs="Arial"/>
        </w:rPr>
        <w:t xml:space="preserve">Alaska Department of Education &amp; Early Development </w:t>
      </w:r>
      <w:hyperlink r:id="rId24"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5"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6"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DD100B9" w14:textId="2094F983" w:rsidR="00A16091" w:rsidRPr="00157217" w:rsidRDefault="00157217" w:rsidP="00157217">
      <w:pPr>
        <w:pStyle w:val="ListParagraph"/>
        <w:numPr>
          <w:ilvl w:val="0"/>
          <w:numId w:val="2"/>
        </w:numPr>
        <w:rPr>
          <w:rFonts w:ascii="Arial" w:hAnsi="Arial" w:cs="Arial"/>
        </w:rPr>
      </w:pPr>
      <w:r>
        <w:rPr>
          <w:rFonts w:ascii="Arial" w:hAnsi="Arial" w:cs="Arial"/>
          <w:b/>
          <w:i/>
          <w:color w:val="7030A0"/>
        </w:rPr>
        <w:t>None at this time.</w:t>
      </w: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33291A05" w14:textId="1F55106C" w:rsidR="00BB4B2C" w:rsidRDefault="00157217" w:rsidP="009958E8">
      <w:pPr>
        <w:tabs>
          <w:tab w:val="left" w:pos="2880"/>
        </w:tabs>
        <w:ind w:left="2880" w:hanging="2880"/>
        <w:rPr>
          <w:rFonts w:ascii="Arial" w:hAnsi="Arial" w:cs="Arial"/>
          <w:b/>
        </w:rPr>
      </w:pPr>
      <w:r>
        <w:rPr>
          <w:rFonts w:ascii="Arial" w:hAnsi="Arial" w:cs="Arial"/>
          <w:b/>
        </w:rPr>
        <w:t>Oct. 1</w:t>
      </w:r>
      <w:r w:rsidRPr="00157217">
        <w:rPr>
          <w:rFonts w:ascii="Arial" w:hAnsi="Arial" w:cs="Arial"/>
          <w:b/>
          <w:vertAlign w:val="superscript"/>
        </w:rPr>
        <w:t>st</w:t>
      </w:r>
      <w:r>
        <w:rPr>
          <w:rFonts w:ascii="Arial" w:hAnsi="Arial" w:cs="Arial"/>
          <w:b/>
        </w:rPr>
        <w:t xml:space="preserve"> </w:t>
      </w:r>
      <w:r>
        <w:rPr>
          <w:rFonts w:ascii="Arial" w:hAnsi="Arial" w:cs="Arial"/>
          <w:b/>
        </w:rPr>
        <w:tab/>
        <w:t>State Records Manager (SRM) is due</w:t>
      </w:r>
    </w:p>
    <w:p w14:paraId="1D63C332" w14:textId="5933834C" w:rsidR="00157217" w:rsidRDefault="00157217" w:rsidP="009958E8">
      <w:pPr>
        <w:tabs>
          <w:tab w:val="left" w:pos="2880"/>
        </w:tabs>
        <w:ind w:left="2880" w:hanging="2880"/>
        <w:rPr>
          <w:rFonts w:ascii="Arial" w:hAnsi="Arial" w:cs="Arial"/>
          <w:b/>
        </w:rPr>
      </w:pPr>
      <w:r>
        <w:rPr>
          <w:rFonts w:ascii="Arial" w:hAnsi="Arial" w:cs="Arial"/>
          <w:b/>
        </w:rPr>
        <w:t>Oct. 1</w:t>
      </w:r>
      <w:r w:rsidRPr="00157217">
        <w:rPr>
          <w:rFonts w:ascii="Arial" w:hAnsi="Arial" w:cs="Arial"/>
          <w:b/>
          <w:vertAlign w:val="superscript"/>
        </w:rPr>
        <w:t>st</w:t>
      </w:r>
      <w:r>
        <w:rPr>
          <w:rFonts w:ascii="Arial" w:hAnsi="Arial" w:cs="Arial"/>
          <w:b/>
        </w:rPr>
        <w:t xml:space="preserve"> </w:t>
      </w:r>
      <w:r>
        <w:rPr>
          <w:rFonts w:ascii="Arial" w:hAnsi="Arial" w:cs="Arial"/>
          <w:b/>
        </w:rPr>
        <w:tab/>
        <w:t>Verification of Household application begins</w:t>
      </w:r>
    </w:p>
    <w:p w14:paraId="2840F246" w14:textId="77777777" w:rsidR="00157217" w:rsidRDefault="00157217" w:rsidP="009958E8">
      <w:pPr>
        <w:tabs>
          <w:tab w:val="left" w:pos="2880"/>
        </w:tabs>
        <w:ind w:left="2880" w:hanging="2880"/>
        <w:rPr>
          <w:rFonts w:ascii="Arial" w:hAnsi="Arial" w:cs="Arial"/>
          <w:b/>
        </w:rPr>
      </w:pPr>
    </w:p>
    <w:p w14:paraId="50BF5457" w14:textId="47760761" w:rsidR="0002518F" w:rsidRDefault="00157217" w:rsidP="00157217">
      <w:pPr>
        <w:tabs>
          <w:tab w:val="left" w:pos="1440"/>
        </w:tabs>
        <w:ind w:left="1440" w:hanging="1800"/>
        <w:jc w:val="center"/>
        <w:rPr>
          <w:rFonts w:ascii="Arial" w:hAnsi="Arial" w:cs="Arial"/>
          <w:b/>
        </w:rPr>
      </w:pPr>
      <w:r>
        <w:rPr>
          <w:rFonts w:ascii="Arial" w:hAnsi="Arial" w:cs="Arial"/>
          <w:b/>
        </w:rPr>
        <w:t>On-Site Self-Monitoring review should be conducted on afterschool meal programs (</w:t>
      </w:r>
      <w:r w:rsidR="009C65CC">
        <w:rPr>
          <w:rFonts w:ascii="Arial" w:hAnsi="Arial" w:cs="Arial"/>
          <w:b/>
        </w:rPr>
        <w:t xml:space="preserve">afterschool </w:t>
      </w:r>
      <w:r>
        <w:rPr>
          <w:rFonts w:ascii="Arial" w:hAnsi="Arial" w:cs="Arial"/>
          <w:b/>
        </w:rPr>
        <w:t>snack or at-risk meals) within first 4 weeks of operation</w:t>
      </w:r>
    </w:p>
    <w:p w14:paraId="6D1DDC71" w14:textId="77777777" w:rsidR="00D669BB" w:rsidRDefault="00D669BB" w:rsidP="00157217">
      <w:pPr>
        <w:tabs>
          <w:tab w:val="left" w:pos="2880"/>
        </w:tabs>
        <w:ind w:left="2880" w:hanging="2880"/>
        <w:jc w:val="center"/>
        <w:rPr>
          <w:rFonts w:ascii="Arial" w:hAnsi="Arial" w:cs="Arial"/>
          <w:b/>
          <w:bCs/>
        </w:rPr>
      </w:pPr>
    </w:p>
    <w:p w14:paraId="2D9ECE11" w14:textId="0E34EAF6" w:rsidR="001E4833" w:rsidRPr="009958E8" w:rsidRDefault="001E4833" w:rsidP="00157217">
      <w:pPr>
        <w:tabs>
          <w:tab w:val="left" w:pos="2880"/>
        </w:tabs>
        <w:ind w:left="2880" w:hanging="2880"/>
        <w:jc w:val="center"/>
        <w:rPr>
          <w:rFonts w:ascii="Arial" w:hAnsi="Arial" w:cs="Arial"/>
        </w:rPr>
      </w:pPr>
      <w:r w:rsidRPr="00DA61DB">
        <w:rPr>
          <w:rFonts w:ascii="Arial" w:hAnsi="Arial" w:cs="Arial"/>
          <w:bCs/>
        </w:rPr>
        <w:t>This institution is an equal opportunity</w:t>
      </w:r>
      <w:r w:rsidR="00A46592">
        <w:rPr>
          <w:rFonts w:ascii="Arial" w:hAnsi="Arial" w:cs="Arial"/>
          <w:bCs/>
        </w:rPr>
        <w:t xml:space="preserve"> provider</w:t>
      </w:r>
    </w:p>
    <w:p w14:paraId="4054351F" w14:textId="77777777" w:rsidR="002F2318" w:rsidRPr="005C4D58" w:rsidRDefault="002F2318" w:rsidP="004A4BA8">
      <w:pPr>
        <w:rPr>
          <w:bCs/>
        </w:rPr>
      </w:pPr>
    </w:p>
    <w:sectPr w:rsidR="002F2318" w:rsidRPr="005C4D58"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79F68" w14:textId="77777777" w:rsidR="00F13341" w:rsidRDefault="00F13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4474" w14:textId="77777777" w:rsidR="00F13341" w:rsidRDefault="00F13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7D875" w14:textId="77777777" w:rsidR="00F13341" w:rsidRDefault="00F13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1A78A" w14:textId="77777777" w:rsidR="00F13341" w:rsidRDefault="00F13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F3982" w14:textId="77777777" w:rsidR="00F13341" w:rsidRDefault="00F13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FDA5" w14:textId="77777777" w:rsidR="00F13341" w:rsidRDefault="00F13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22D36"/>
    <w:rsid w:val="0002518F"/>
    <w:rsid w:val="000307B1"/>
    <w:rsid w:val="0003387A"/>
    <w:rsid w:val="000361B8"/>
    <w:rsid w:val="000701F0"/>
    <w:rsid w:val="00070B26"/>
    <w:rsid w:val="00073805"/>
    <w:rsid w:val="00097FF6"/>
    <w:rsid w:val="000A7FCA"/>
    <w:rsid w:val="000C44C5"/>
    <w:rsid w:val="000D0436"/>
    <w:rsid w:val="000D065C"/>
    <w:rsid w:val="000E2183"/>
    <w:rsid w:val="000F2C13"/>
    <w:rsid w:val="000F5AC7"/>
    <w:rsid w:val="00113330"/>
    <w:rsid w:val="001154FE"/>
    <w:rsid w:val="00117DDC"/>
    <w:rsid w:val="00133839"/>
    <w:rsid w:val="00140EE7"/>
    <w:rsid w:val="00157217"/>
    <w:rsid w:val="001636B7"/>
    <w:rsid w:val="001872CD"/>
    <w:rsid w:val="0019118B"/>
    <w:rsid w:val="00192CCC"/>
    <w:rsid w:val="001C433C"/>
    <w:rsid w:val="001D61B9"/>
    <w:rsid w:val="001D798A"/>
    <w:rsid w:val="001E4833"/>
    <w:rsid w:val="001E5028"/>
    <w:rsid w:val="00207A00"/>
    <w:rsid w:val="00212A76"/>
    <w:rsid w:val="00243D21"/>
    <w:rsid w:val="00256484"/>
    <w:rsid w:val="002660B7"/>
    <w:rsid w:val="00273A85"/>
    <w:rsid w:val="002745B4"/>
    <w:rsid w:val="00275276"/>
    <w:rsid w:val="00282C6D"/>
    <w:rsid w:val="00286B9D"/>
    <w:rsid w:val="002B2CAF"/>
    <w:rsid w:val="002B3B3C"/>
    <w:rsid w:val="002F2318"/>
    <w:rsid w:val="003224FC"/>
    <w:rsid w:val="0033093F"/>
    <w:rsid w:val="00353A80"/>
    <w:rsid w:val="00355789"/>
    <w:rsid w:val="00377235"/>
    <w:rsid w:val="00391755"/>
    <w:rsid w:val="003A0B16"/>
    <w:rsid w:val="003B5ABC"/>
    <w:rsid w:val="003C2D46"/>
    <w:rsid w:val="003F16EB"/>
    <w:rsid w:val="004052E5"/>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78DE"/>
    <w:rsid w:val="00500765"/>
    <w:rsid w:val="0050638F"/>
    <w:rsid w:val="00515248"/>
    <w:rsid w:val="00535894"/>
    <w:rsid w:val="00535DD7"/>
    <w:rsid w:val="0054037C"/>
    <w:rsid w:val="00542EE6"/>
    <w:rsid w:val="00554AB4"/>
    <w:rsid w:val="005656B0"/>
    <w:rsid w:val="00567074"/>
    <w:rsid w:val="00574889"/>
    <w:rsid w:val="005A4356"/>
    <w:rsid w:val="005B1BFC"/>
    <w:rsid w:val="005B6950"/>
    <w:rsid w:val="005B7B93"/>
    <w:rsid w:val="005C4D58"/>
    <w:rsid w:val="005F4DB8"/>
    <w:rsid w:val="00605613"/>
    <w:rsid w:val="006060FE"/>
    <w:rsid w:val="00633C58"/>
    <w:rsid w:val="00647CA0"/>
    <w:rsid w:val="006515FB"/>
    <w:rsid w:val="00683C12"/>
    <w:rsid w:val="00695E35"/>
    <w:rsid w:val="006A0599"/>
    <w:rsid w:val="006A43A3"/>
    <w:rsid w:val="006A64CC"/>
    <w:rsid w:val="006C076D"/>
    <w:rsid w:val="006C1A08"/>
    <w:rsid w:val="006C2964"/>
    <w:rsid w:val="006D0152"/>
    <w:rsid w:val="006E1212"/>
    <w:rsid w:val="006E2B5F"/>
    <w:rsid w:val="006F3C05"/>
    <w:rsid w:val="007036B1"/>
    <w:rsid w:val="00713FAF"/>
    <w:rsid w:val="0071636A"/>
    <w:rsid w:val="007169F8"/>
    <w:rsid w:val="00735482"/>
    <w:rsid w:val="00736E7A"/>
    <w:rsid w:val="00767691"/>
    <w:rsid w:val="00774217"/>
    <w:rsid w:val="00776B42"/>
    <w:rsid w:val="00780EF5"/>
    <w:rsid w:val="00782568"/>
    <w:rsid w:val="00784260"/>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41E03"/>
    <w:rsid w:val="00871A6A"/>
    <w:rsid w:val="00882BC7"/>
    <w:rsid w:val="00883D20"/>
    <w:rsid w:val="0089151D"/>
    <w:rsid w:val="00892275"/>
    <w:rsid w:val="008956D9"/>
    <w:rsid w:val="008A2C36"/>
    <w:rsid w:val="008C16E9"/>
    <w:rsid w:val="008D01A9"/>
    <w:rsid w:val="008F3BEF"/>
    <w:rsid w:val="009120C6"/>
    <w:rsid w:val="009122EF"/>
    <w:rsid w:val="00912E72"/>
    <w:rsid w:val="00913876"/>
    <w:rsid w:val="00914018"/>
    <w:rsid w:val="00924666"/>
    <w:rsid w:val="009460C4"/>
    <w:rsid w:val="00964095"/>
    <w:rsid w:val="00973299"/>
    <w:rsid w:val="00974EEA"/>
    <w:rsid w:val="009764E2"/>
    <w:rsid w:val="00976A03"/>
    <w:rsid w:val="009824A4"/>
    <w:rsid w:val="00983221"/>
    <w:rsid w:val="009958E8"/>
    <w:rsid w:val="009A5B5A"/>
    <w:rsid w:val="009B7AC1"/>
    <w:rsid w:val="009C65CC"/>
    <w:rsid w:val="009D0688"/>
    <w:rsid w:val="009E0CDA"/>
    <w:rsid w:val="009E4D5E"/>
    <w:rsid w:val="00A10AF6"/>
    <w:rsid w:val="00A16091"/>
    <w:rsid w:val="00A173DE"/>
    <w:rsid w:val="00A22471"/>
    <w:rsid w:val="00A43D35"/>
    <w:rsid w:val="00A4421F"/>
    <w:rsid w:val="00A46592"/>
    <w:rsid w:val="00A56FA2"/>
    <w:rsid w:val="00A60B96"/>
    <w:rsid w:val="00A61F19"/>
    <w:rsid w:val="00A64392"/>
    <w:rsid w:val="00A76DA5"/>
    <w:rsid w:val="00A77FA7"/>
    <w:rsid w:val="00AD16B0"/>
    <w:rsid w:val="00AD51C6"/>
    <w:rsid w:val="00AD6902"/>
    <w:rsid w:val="00AE15F4"/>
    <w:rsid w:val="00AF557B"/>
    <w:rsid w:val="00B002A5"/>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74D16"/>
    <w:rsid w:val="00C90FE3"/>
    <w:rsid w:val="00CB2CCA"/>
    <w:rsid w:val="00CD7EFF"/>
    <w:rsid w:val="00CE4D4D"/>
    <w:rsid w:val="00CE7842"/>
    <w:rsid w:val="00CF5CEF"/>
    <w:rsid w:val="00CF6D3F"/>
    <w:rsid w:val="00D015C0"/>
    <w:rsid w:val="00D02551"/>
    <w:rsid w:val="00D12237"/>
    <w:rsid w:val="00D13D6D"/>
    <w:rsid w:val="00D27FBE"/>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4474"/>
    <w:rsid w:val="00EA497E"/>
    <w:rsid w:val="00EA68BD"/>
    <w:rsid w:val="00EB1B76"/>
    <w:rsid w:val="00EB400E"/>
    <w:rsid w:val="00EC38B7"/>
    <w:rsid w:val="00ED3AF6"/>
    <w:rsid w:val="00EE09A2"/>
    <w:rsid w:val="00EF22D4"/>
    <w:rsid w:val="00EF468D"/>
    <w:rsid w:val="00EF66B3"/>
    <w:rsid w:val="00F13341"/>
    <w:rsid w:val="00F37674"/>
    <w:rsid w:val="00F56D8C"/>
    <w:rsid w:val="00F67CE4"/>
    <w:rsid w:val="00F730F3"/>
    <w:rsid w:val="00F828EA"/>
    <w:rsid w:val="00F835D2"/>
    <w:rsid w:val="00F83A27"/>
    <w:rsid w:val="00F9447D"/>
    <w:rsid w:val="00F95D88"/>
    <w:rsid w:val="00FB4FFC"/>
    <w:rsid w:val="00FB5EFF"/>
    <w:rsid w:val="00FC5BDF"/>
    <w:rsid w:val="00FD3DB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education.alaska.gov/cnp/nslp3" TargetMode="External"/><Relationship Id="rId26" Type="http://schemas.openxmlformats.org/officeDocument/2006/relationships/hyperlink" Target="http://list.state.ak.us/mailman/listinfo/ak_child_nutrition_programs" TargetMode="External"/><Relationship Id="rId3" Type="http://schemas.openxmlformats.org/officeDocument/2006/relationships/styles" Target="styles.xml"/><Relationship Id="rId21" Type="http://schemas.openxmlformats.org/officeDocument/2006/relationships/hyperlink" Target="mailto:Debbie.soto@alask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disaster/pandemic/covid-19" TargetMode="External"/><Relationship Id="rId25" Type="http://schemas.openxmlformats.org/officeDocument/2006/relationships/hyperlink" Target="https://foodbuyingguide.fns.usda.gov/Appendix/DownLoadFBG" TargetMode="Externa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mailto:Elizabeth.seitz@al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edelearning.asentialms.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lwaysfoodsafe.com/food-protection-manager?state=Alaska&amp;county=All%20counties%20(Todos%20los%20condado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education.alaska.gov/cnp/primero"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nslp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6972</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Elizabeth Seitz</cp:lastModifiedBy>
  <cp:revision>10</cp:revision>
  <cp:lastPrinted>2020-06-03T17:31:00Z</cp:lastPrinted>
  <dcterms:created xsi:type="dcterms:W3CDTF">2020-09-01T21:16:00Z</dcterms:created>
  <dcterms:modified xsi:type="dcterms:W3CDTF">2020-09-03T17:58:00Z</dcterms:modified>
</cp:coreProperties>
</file>